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915A5B">
              <w:rPr>
                <w:rFonts w:ascii="Arial" w:hAnsi="Arial" w:cs="Arial"/>
                <w:sz w:val="24"/>
                <w:szCs w:val="24"/>
              </w:rPr>
              <w:t>3</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915A5B">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5A4E87" w:rsidP="0067583E">
            <w:pPr>
              <w:jc w:val="center"/>
              <w:rPr>
                <w:rFonts w:ascii="Arial" w:hAnsi="Arial" w:cs="Arial"/>
                <w:sz w:val="24"/>
                <w:szCs w:val="24"/>
              </w:rPr>
            </w:pPr>
            <w:r>
              <w:t>“Angelique Lemay”</w:t>
            </w:r>
          </w:p>
        </w:tc>
        <w:tc>
          <w:tcPr>
            <w:tcW w:w="1458" w:type="dxa"/>
            <w:gridSpan w:val="2"/>
          </w:tcPr>
          <w:p w:rsidR="00E8683D" w:rsidRPr="00E8683D" w:rsidRDefault="005A4E87" w:rsidP="00C902D2">
            <w:pPr>
              <w:rPr>
                <w:rFonts w:ascii="Arial" w:hAnsi="Arial" w:cs="Arial"/>
                <w:sz w:val="24"/>
                <w:szCs w:val="24"/>
              </w:rPr>
            </w:pPr>
            <w:r>
              <w:rPr>
                <w:rFonts w:ascii="Arial" w:hAnsi="Arial" w:cs="Arial"/>
                <w:sz w:val="24"/>
                <w:szCs w:val="24"/>
              </w:rPr>
              <w:t>Aug, 2012</w:t>
            </w:r>
            <w:bookmarkStart w:id="0" w:name="_GoBack"/>
            <w:bookmarkEnd w:id="0"/>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5A4E87" w:rsidP="009305FA">
            <w:pPr>
              <w:tabs>
                <w:tab w:val="center" w:pos="4560"/>
              </w:tabs>
              <w:jc w:val="center"/>
              <w:rPr>
                <w:rFonts w:ascii="Arial" w:hAnsi="Arial" w:cs="Arial"/>
                <w:i/>
                <w:sz w:val="24"/>
                <w:szCs w:val="24"/>
                <w:lang w:val="en-GB"/>
              </w:rPr>
            </w:pPr>
            <w:r w:rsidRPr="005A4E87">
              <w:rPr>
                <w:rFonts w:ascii="Arial" w:hAnsi="Arial" w:cs="Arial"/>
                <w:i/>
                <w:sz w:val="24"/>
                <w:szCs w:val="24"/>
                <w:lang w:val="en-GB"/>
              </w:rPr>
              <w:t>School of Community Services and Interdisciplinary Studies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9"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5A4E87">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FB228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652AA"/>
    <w:rsid w:val="00076307"/>
    <w:rsid w:val="0008171E"/>
    <w:rsid w:val="00082165"/>
    <w:rsid w:val="00140AF6"/>
    <w:rsid w:val="00144691"/>
    <w:rsid w:val="001501FD"/>
    <w:rsid w:val="00161B6B"/>
    <w:rsid w:val="00165045"/>
    <w:rsid w:val="00180C04"/>
    <w:rsid w:val="00181A45"/>
    <w:rsid w:val="001E0A89"/>
    <w:rsid w:val="00252452"/>
    <w:rsid w:val="00363526"/>
    <w:rsid w:val="0037201D"/>
    <w:rsid w:val="003D6E2B"/>
    <w:rsid w:val="003E1943"/>
    <w:rsid w:val="004419E9"/>
    <w:rsid w:val="004470A1"/>
    <w:rsid w:val="004A6B64"/>
    <w:rsid w:val="0050486A"/>
    <w:rsid w:val="005A4E87"/>
    <w:rsid w:val="005C7386"/>
    <w:rsid w:val="006050F3"/>
    <w:rsid w:val="0062287F"/>
    <w:rsid w:val="00633998"/>
    <w:rsid w:val="0067583E"/>
    <w:rsid w:val="006A5C60"/>
    <w:rsid w:val="00767A2A"/>
    <w:rsid w:val="008661A0"/>
    <w:rsid w:val="00915A5B"/>
    <w:rsid w:val="009270D6"/>
    <w:rsid w:val="009305FA"/>
    <w:rsid w:val="0096240E"/>
    <w:rsid w:val="009734C4"/>
    <w:rsid w:val="009C3C0A"/>
    <w:rsid w:val="009E1E02"/>
    <w:rsid w:val="009E711E"/>
    <w:rsid w:val="009F5A6B"/>
    <w:rsid w:val="00A24C0B"/>
    <w:rsid w:val="00A53E7D"/>
    <w:rsid w:val="00AE4F82"/>
    <w:rsid w:val="00BB1731"/>
    <w:rsid w:val="00C330D3"/>
    <w:rsid w:val="00C902D2"/>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77DD8-8A3F-4AF3-9E98-B6F597514D1E}"/>
</file>

<file path=customXml/itemProps2.xml><?xml version="1.0" encoding="utf-8"?>
<ds:datastoreItem xmlns:ds="http://schemas.openxmlformats.org/officeDocument/2006/customXml" ds:itemID="{901B7C9F-70B5-4E48-B9B9-CB0C4944E82B}"/>
</file>

<file path=customXml/itemProps3.xml><?xml version="1.0" encoding="utf-8"?>
<ds:datastoreItem xmlns:ds="http://schemas.openxmlformats.org/officeDocument/2006/customXml" ds:itemID="{83BE03F0-2371-4B4E-ACB1-3154C16F7ACF}"/>
</file>

<file path=docProps/app.xml><?xml version="1.0" encoding="utf-8"?>
<Properties xmlns="http://schemas.openxmlformats.org/officeDocument/2006/extended-properties" xmlns:vt="http://schemas.openxmlformats.org/officeDocument/2006/docPropsVTypes">
  <Template>Normal.dotm</Template>
  <TotalTime>6</TotalTime>
  <Pages>6</Pages>
  <Words>1363</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2012-08-01T19:21:00Z</cp:lastPrinted>
  <dcterms:created xsi:type="dcterms:W3CDTF">2012-05-31T16:25:00Z</dcterms:created>
  <dcterms:modified xsi:type="dcterms:W3CDTF">2012-08-01T19:21:00Z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11231200</vt:r8>
  </property>
</Properties>
</file>